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E4" w:rsidRPr="009F3FC6" w:rsidRDefault="00964DE4" w:rsidP="00964DE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o-RO"/>
        </w:rPr>
      </w:pPr>
      <w:bookmarkStart w:id="0" w:name="_GoBack"/>
      <w:bookmarkEnd w:id="0"/>
      <w:r w:rsidRPr="009F3FC6">
        <w:rPr>
          <w:rFonts w:ascii="Times New Roman" w:hAnsi="Times New Roman"/>
          <w:sz w:val="20"/>
          <w:szCs w:val="20"/>
          <w:lang w:val="ro-RO"/>
        </w:rPr>
        <w:t xml:space="preserve">Anexa nr. </w:t>
      </w:r>
      <w:r>
        <w:rPr>
          <w:rFonts w:ascii="Times New Roman" w:hAnsi="Times New Roman"/>
          <w:sz w:val="20"/>
          <w:szCs w:val="20"/>
          <w:lang w:val="ro-RO"/>
        </w:rPr>
        <w:t xml:space="preserve">3 </w:t>
      </w:r>
      <w:r w:rsidRPr="009F3FC6">
        <w:rPr>
          <w:rFonts w:ascii="Times New Roman" w:hAnsi="Times New Roman"/>
          <w:sz w:val="20"/>
          <w:szCs w:val="20"/>
          <w:lang w:val="ro-RO"/>
        </w:rPr>
        <w:t>la Regulamentul cu privire</w:t>
      </w:r>
    </w:p>
    <w:p w:rsidR="00964DE4" w:rsidRPr="009F3FC6" w:rsidRDefault="00964DE4" w:rsidP="00964DE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o-RO"/>
        </w:rPr>
      </w:pPr>
      <w:r w:rsidRPr="009F3FC6">
        <w:rPr>
          <w:rFonts w:ascii="Times New Roman" w:hAnsi="Times New Roman"/>
          <w:sz w:val="20"/>
          <w:szCs w:val="20"/>
          <w:lang w:val="ro-RO"/>
        </w:rPr>
        <w:t xml:space="preserve"> la atestarea registratorilor</w:t>
      </w:r>
    </w:p>
    <w:p w:rsidR="00964DE4" w:rsidRDefault="00964DE4" w:rsidP="00964DE4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</w:t>
      </w:r>
    </w:p>
    <w:p w:rsidR="00964DE4" w:rsidRDefault="00964DE4" w:rsidP="00964DE4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64DE4" w:rsidRDefault="00964DE4" w:rsidP="00964DE4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Criterii de evaluare a rezultatelor activităţii registratorului</w:t>
      </w:r>
      <w:r w:rsidRPr="00CB6F4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64DE4" w:rsidRDefault="00964DE4" w:rsidP="00964DE4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64DE4" w:rsidRDefault="00964DE4" w:rsidP="00964DE4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276"/>
      </w:tblGrid>
      <w:tr w:rsidR="00964DE4" w:rsidTr="0092602B">
        <w:tc>
          <w:tcPr>
            <w:tcW w:w="7621" w:type="dxa"/>
          </w:tcPr>
          <w:p w:rsidR="00964DE4" w:rsidRPr="000C5252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A0EE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Criterii de evaluare a rezultatelor activităţii registratorului  </w:t>
            </w:r>
          </w:p>
        </w:tc>
        <w:tc>
          <w:tcPr>
            <w:tcW w:w="1276" w:type="dxa"/>
          </w:tcPr>
          <w:p w:rsidR="00964DE4" w:rsidRPr="002A0EE6" w:rsidRDefault="00964DE4" w:rsidP="0092602B">
            <w:pPr>
              <w:spacing w:after="20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A0EE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punctaj</w:t>
            </w:r>
          </w:p>
        </w:tc>
      </w:tr>
      <w:tr w:rsidR="00964DE4" w:rsidTr="0092602B">
        <w:tc>
          <w:tcPr>
            <w:tcW w:w="7621" w:type="dxa"/>
          </w:tcPr>
          <w:p w:rsidR="00964DE4" w:rsidRPr="009C640A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C640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calitatea muncii</w:t>
            </w:r>
          </w:p>
        </w:tc>
        <w:tc>
          <w:tcPr>
            <w:tcW w:w="1276" w:type="dxa"/>
          </w:tcPr>
          <w:p w:rsidR="00964DE4" w:rsidRPr="000C5252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964DE4" w:rsidRPr="00305607" w:rsidTr="0092602B">
        <w:tc>
          <w:tcPr>
            <w:tcW w:w="7621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Face greşeli care au dus la lipsirea titularului de dreptul  de proprietate sau alt drept real, deciziile registratorului sunt neîntemeiate, nu respectă procedurile de înregistrare şi efectuare a înscrierilor în registru şi procedurile de utilizare a sistemelor informatice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964DE4" w:rsidRPr="006113AE" w:rsidTr="0092602B">
        <w:tc>
          <w:tcPr>
            <w:tcW w:w="7621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Uneori face greşeli care nu pot fi corectate fără implicarea titularilor de drepturi, deciziile registratorului nu totdeauna sunt întemeiate,   uneori nu respectă procedurile de înregistrare şi efectuare a înscrierilor în registru şi procedurile de utilizare a sistemelor informatice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964DE4" w:rsidRPr="00305607" w:rsidTr="0092602B">
        <w:tc>
          <w:tcPr>
            <w:tcW w:w="7621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Deseori sarcinile sunt îndeplinite corect, fără greşeli, de regulă  deciziile registratorului sunt întemeiate, se respectă procedurile de înregistrare şi efectuare a înscrierilor în registru şi procedurile de utilizare a sistemelor informatice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964DE4" w:rsidRPr="00305607" w:rsidTr="0092602B">
        <w:tc>
          <w:tcPr>
            <w:tcW w:w="7621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Sarcinile sunt îndeplinite corect, conform legislaţiei şi procedurilor, existând doar greşeli minore, deciziile registratorului sunt întemeiate,   respectă procedurile de înregistrare şi efectuare a înscrierilor în registru precum şi procedurile de utilizare a sistemelor informatice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964DE4" w:rsidRPr="00305607" w:rsidTr="0092602B">
        <w:tc>
          <w:tcPr>
            <w:tcW w:w="7621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abilitate de comunicare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64DE4" w:rsidRPr="006113AE" w:rsidTr="0092602B">
        <w:tc>
          <w:tcPr>
            <w:tcW w:w="7621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Calitatea şi modul de comunicare cu conducătorii, colegii şi publicul este la un nivel scăzut, este conflictual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964DE4" w:rsidRPr="006113AE" w:rsidTr="0092602B">
        <w:tc>
          <w:tcPr>
            <w:tcW w:w="7621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Calitatea şi modul de comunicare cu conducătorii, colegii şi publicul se desfăşoară, de regulă, în mod normal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964DE4" w:rsidRPr="006113AE" w:rsidTr="0092602B">
        <w:tc>
          <w:tcPr>
            <w:tcW w:w="7621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Calitatea şi modul de comunicare cu conducătorii, colegii şi publicul se desfăşoară normal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964DE4" w:rsidRPr="006113AE" w:rsidTr="0092602B">
        <w:tc>
          <w:tcPr>
            <w:tcW w:w="7621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Calitatea şi modul de comunicare cu conducătorii, colegii şi publicul este la un nivel înalt, influenţează în mod pozitiv realizarea obiectivelor şi imaginea Întreprinderii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964DE4" w:rsidRPr="006113AE" w:rsidTr="0092602B">
        <w:tc>
          <w:tcPr>
            <w:tcW w:w="7621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comportament corespunzător funcţiei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64DE4" w:rsidRPr="006113AE" w:rsidTr="0092602B">
        <w:tc>
          <w:tcPr>
            <w:tcW w:w="7621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Sarcinile nu sunt îndeplinite în termenele stabilite, procedurile interne nu sunt respectate,  nu acordă solicitanţilor asistenţa necesară la depunerea cererii,  nu este receptiv la utilizarea tehnologiilor noi în îndeplinirea funcţiei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964DE4" w:rsidRPr="00A57AB3" w:rsidTr="0092602B">
        <w:tc>
          <w:tcPr>
            <w:tcW w:w="7621" w:type="dxa"/>
          </w:tcPr>
          <w:p w:rsidR="00964DE4" w:rsidRPr="002A0EE6" w:rsidRDefault="00964DE4" w:rsidP="0092602B">
            <w:pPr>
              <w:spacing w:after="20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113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</w:t>
            </w:r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3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regul</w:t>
            </w:r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ă</w:t>
            </w:r>
            <w:proofErr w:type="spellEnd"/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sarcinile</w:t>
            </w:r>
            <w:proofErr w:type="spellEnd"/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î</w:t>
            </w:r>
            <w:r w:rsidRPr="006113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nt</w:t>
            </w:r>
            <w:proofErr w:type="spellEnd"/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î</w:t>
            </w:r>
            <w:r w:rsidRPr="006113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ndeplinite</w:t>
            </w:r>
            <w:proofErr w:type="spellEnd"/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î</w:t>
            </w:r>
            <w:r w:rsidRPr="006113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proofErr w:type="spellEnd"/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3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termen</w:t>
            </w:r>
            <w:proofErr w:type="spellEnd"/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î</w:t>
            </w:r>
            <w:r w:rsidRPr="006113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proofErr w:type="spellEnd"/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6113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mare</w:t>
            </w:r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6113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parte</w:t>
            </w:r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3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procedurile</w:t>
            </w:r>
            <w:proofErr w:type="spellEnd"/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6113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interne</w:t>
            </w:r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3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î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nt</w:t>
            </w:r>
            <w:proofErr w:type="spellEnd"/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3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respect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ate</w:t>
            </w:r>
            <w:proofErr w:type="spellEnd"/>
            <w:proofErr w:type="gramStart"/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 </w:t>
            </w: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de</w:t>
            </w:r>
            <w:proofErr w:type="gramEnd"/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regulă acordă solicitanţilor  asistenţa necesară la depunerea cererii, pentru scurt timp nu este receptiv la utilizarea tehnologiilor noi în îndeplinirea funcţiei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  <w:r w:rsidRPr="002A0E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964DE4" w:rsidRPr="00305607" w:rsidTr="0092602B">
        <w:tc>
          <w:tcPr>
            <w:tcW w:w="7621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Sarcinile sunt îndeplinite în termen, conform fişei de post, respectă procedurile interne, de regulă exercită activitatea independent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, </w:t>
            </w: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acordă solicitanţilor asistenţa necesară la depunerea cererii,  este receptiv la utilizarea tehnologiilor noi în îndeplinirea funcţiei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964DE4" w:rsidRPr="006113AE" w:rsidTr="0092602B">
        <w:tc>
          <w:tcPr>
            <w:tcW w:w="7621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Sarcinile sunt îndeplinite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î</w:t>
            </w: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n termen, conform fişei de post, conform procedurilor interne, cu responsabilitate, vine cu propuneri de îmbunătăţire, exercită activitatea independent, se autoperfecţionează, găseşte soluţii motivate şi expune clar  rezolvarea sarcinilor complexe, acordă </w:t>
            </w:r>
            <w:r w:rsidRPr="006113A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lastRenderedPageBreak/>
              <w:t>solicitanţilor asistenţa necesară la depunerea cererilor, este receptiv la utilizarea tehnologiilor noi în îndeplinirea funcţiei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</w:t>
            </w:r>
          </w:p>
        </w:tc>
      </w:tr>
      <w:tr w:rsidR="00964DE4" w:rsidRPr="006113AE" w:rsidTr="0092602B">
        <w:tc>
          <w:tcPr>
            <w:tcW w:w="7621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nivelul riscului decizional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64DE4" w:rsidRPr="006113AE" w:rsidTr="0092602B">
        <w:tc>
          <w:tcPr>
            <w:tcW w:w="7621" w:type="dxa"/>
          </w:tcPr>
          <w:p w:rsidR="00964DE4" w:rsidRPr="00C3196C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3196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Deciziile şi acţiunile registratorului au dus la încasări substanţiale de prejudicii sau au risc sporit de atragere a Întreprinderii  în litigii judiciare cu încasări substanţiale de prejudicii, ceia ce presupune lipsa capacităţii de a estima riscuri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le evidente</w:t>
            </w:r>
            <w:r w:rsidRPr="00C3196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ce se pot produce în urma deciziilor şi acţiunilor sale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964DE4" w:rsidRPr="006113AE" w:rsidTr="0092602B">
        <w:tc>
          <w:tcPr>
            <w:tcW w:w="7621" w:type="dxa"/>
          </w:tcPr>
          <w:p w:rsidR="00964DE4" w:rsidRPr="00C3196C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3196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Deciziile şi acţiunile registratorului au dus la atragerea Întreprinderii în litigii judiciare cu anumite  încasări, dar nu  prezintă risc de încasări substanţiale de prejudicii.</w:t>
            </w:r>
          </w:p>
          <w:p w:rsidR="00964DE4" w:rsidRPr="00C3196C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3196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Au fost rezolvate plângeri şi reclamaţii întemeiate în adresa Întreprinderii care afectează imaginea Întreprinderii,  ceia ce ar presupune capacitate redusă de  estimare şi prevenire a  riscuri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lor evidente.</w:t>
            </w:r>
          </w:p>
          <w:p w:rsidR="00964DE4" w:rsidRPr="00C3196C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3196C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964DE4" w:rsidRPr="006113AE" w:rsidTr="0092602B">
        <w:tc>
          <w:tcPr>
            <w:tcW w:w="7621" w:type="dxa"/>
          </w:tcPr>
          <w:p w:rsidR="00964DE4" w:rsidRPr="00C3196C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3196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Deciziile şi acţiunile registratorului nu au dus la încasare de prejudicii şi nu prezintă risc de încasare de prejudicii de la Întreprindere.</w:t>
            </w:r>
          </w:p>
          <w:p w:rsidR="00964DE4" w:rsidRPr="00C3196C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3196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În cazuri rare au fost rezolvate plângeri şi reclamaţii întemeiate în adresa Întreprinderii, ce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e</w:t>
            </w:r>
            <w:r w:rsidRPr="00C3196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 ce presupune că dispune de capacitatea de a estima şi preveni riscuri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le evidente.</w:t>
            </w:r>
          </w:p>
          <w:p w:rsidR="00964DE4" w:rsidRPr="000C5252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964DE4" w:rsidRPr="006113AE" w:rsidTr="0092602B">
        <w:trPr>
          <w:trHeight w:val="1483"/>
        </w:trPr>
        <w:tc>
          <w:tcPr>
            <w:tcW w:w="7621" w:type="dxa"/>
          </w:tcPr>
          <w:p w:rsidR="00964DE4" w:rsidRPr="00C3196C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3196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Deciziile şi acţiunile registratorului nu au dus la încasare de prejudicii şi nu prezintă risc de încasare de prejudicii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</w:p>
          <w:p w:rsidR="00964DE4" w:rsidRPr="00C3196C" w:rsidRDefault="00964DE4" w:rsidP="0092602B">
            <w:pPr>
              <w:spacing w:line="240" w:lineRule="atLeast"/>
              <w:jc w:val="both"/>
              <w:rPr>
                <w:sz w:val="24"/>
                <w:szCs w:val="24"/>
                <w:lang w:val="ro-RO"/>
              </w:rPr>
            </w:pPr>
            <w:r w:rsidRPr="00C3196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Nu au fost rezolvate plângeri şi reclamaţii întemeiate în adresa Întreprinderii, poate estima cu acurateţe probabilitatea de apariţie a fiecărui scenariu posibil, astfel evaluează cât mai obiectiv posibilitatea apariţiei riscului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</w:p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964DE4" w:rsidRPr="006113AE" w:rsidRDefault="00964DE4" w:rsidP="0092602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13AE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</w:tbl>
    <w:p w:rsidR="00964DE4" w:rsidRDefault="00964DE4"/>
    <w:sectPr w:rsidR="00964DE4" w:rsidSect="00964DE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E4"/>
    <w:rsid w:val="0096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E4"/>
    <w:rPr>
      <w:rFonts w:eastAsia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DE4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E4"/>
    <w:rPr>
      <w:rFonts w:eastAsia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DE4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2017-12-06T07:49:00Z</dcterms:created>
  <dcterms:modified xsi:type="dcterms:W3CDTF">2017-12-06T07:50:00Z</dcterms:modified>
</cp:coreProperties>
</file>